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658A" w14:textId="77777777" w:rsidR="00C63393" w:rsidRPr="00136BAB" w:rsidRDefault="00C63393" w:rsidP="00C63393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Proposed Amendment to Section 2.2.13 of the </w:t>
      </w:r>
      <w:r w:rsidRPr="00136BAB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estchase </w:t>
      </w:r>
      <w:r w:rsidRPr="00136BA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esidential </w:t>
      </w:r>
      <w:r w:rsidRPr="00136BA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uidelines:</w:t>
      </w:r>
    </w:p>
    <w:p w14:paraId="12AD0F2A" w14:textId="77777777" w:rsidR="00C63393" w:rsidRDefault="00C63393" w:rsidP="00C63393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142B824C" w14:textId="77777777" w:rsidR="00C63393" w:rsidRPr="00136BAB" w:rsidRDefault="00C63393" w:rsidP="00C63393">
      <w:pPr>
        <w:pStyle w:val="Heading3"/>
        <w:numPr>
          <w:ilvl w:val="2"/>
          <w:numId w:val="3"/>
        </w:numPr>
        <w:spacing w:after="0"/>
        <w:ind w:hanging="630"/>
        <w:rPr>
          <w:b w:val="0"/>
          <w:szCs w:val="24"/>
        </w:rPr>
      </w:pPr>
      <w:bookmarkStart w:id="0" w:name="_Toc168929819"/>
      <w:r w:rsidRPr="00136BAB">
        <w:rPr>
          <w:szCs w:val="24"/>
        </w:rPr>
        <w:t>Fences on Golf Course, Lakes</w:t>
      </w:r>
      <w:r w:rsidRPr="00136BAB">
        <w:rPr>
          <w:szCs w:val="24"/>
          <w:u w:val="double"/>
        </w:rPr>
        <w:t>, Ponds,</w:t>
      </w:r>
      <w:r w:rsidRPr="00136BAB">
        <w:rPr>
          <w:szCs w:val="24"/>
        </w:rPr>
        <w:t xml:space="preserve"> and Conservation Areas</w:t>
      </w:r>
      <w:bookmarkEnd w:id="0"/>
      <w:r w:rsidRPr="00136BAB">
        <w:rPr>
          <w:szCs w:val="24"/>
        </w:rPr>
        <w:t xml:space="preserve"> </w:t>
      </w:r>
    </w:p>
    <w:p w14:paraId="64324E63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Full height solid or living fences which inhibit any neighbor’s view to the golf course,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 xml:space="preserve">or </w:t>
      </w:r>
      <w:r w:rsidRPr="00136BAB">
        <w:rPr>
          <w:rFonts w:ascii="Times New Roman" w:hAnsi="Times New Roman" w:cs="Times New Roman"/>
          <w:sz w:val="24"/>
          <w:szCs w:val="24"/>
        </w:rPr>
        <w:t>any lake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, pond</w:t>
      </w:r>
      <w:r w:rsidRPr="00136BAB">
        <w:rPr>
          <w:rFonts w:ascii="Times New Roman" w:hAnsi="Times New Roman" w:cs="Times New Roman"/>
          <w:sz w:val="24"/>
          <w:szCs w:val="24"/>
        </w:rPr>
        <w:t xml:space="preserve"> or conservation area are not allowed.  Additional INSG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>s</w:t>
      </w:r>
      <w:r w:rsidRPr="00136BAB">
        <w:rPr>
          <w:rFonts w:ascii="Times New Roman" w:hAnsi="Times New Roman" w:cs="Times New Roman"/>
          <w:sz w:val="24"/>
          <w:szCs w:val="24"/>
        </w:rPr>
        <w:t xml:space="preserve"> may apply.  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 xml:space="preserve">Notwithstanding any other provision in these Guidelines or in any INSG, </w:t>
      </w:r>
      <w:r>
        <w:rPr>
          <w:rFonts w:ascii="Times New Roman" w:hAnsi="Times New Roman" w:cs="Times New Roman"/>
          <w:sz w:val="24"/>
          <w:szCs w:val="24"/>
          <w:u w:val="double"/>
        </w:rPr>
        <w:t>metal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 xml:space="preserve"> fences that comply with section 2.2.15.C may extend to the rear Lot line on any Lot that abuts a lake, </w:t>
      </w:r>
      <w:proofErr w:type="gramStart"/>
      <w:r w:rsidRPr="00136BAB">
        <w:rPr>
          <w:rFonts w:ascii="Times New Roman" w:hAnsi="Times New Roman" w:cs="Times New Roman"/>
          <w:sz w:val="24"/>
          <w:szCs w:val="24"/>
          <w:u w:val="double"/>
        </w:rPr>
        <w:t>pond</w:t>
      </w:r>
      <w:proofErr w:type="gramEnd"/>
      <w:r w:rsidRPr="00136BAB">
        <w:rPr>
          <w:rFonts w:ascii="Times New Roman" w:hAnsi="Times New Roman" w:cs="Times New Roman"/>
          <w:sz w:val="24"/>
          <w:szCs w:val="24"/>
          <w:u w:val="double"/>
        </w:rPr>
        <w:t xml:space="preserve"> or conservation area. </w:t>
      </w:r>
      <w:r w:rsidRPr="00136BAB">
        <w:rPr>
          <w:rFonts w:ascii="Times New Roman" w:hAnsi="Times New Roman" w:cs="Times New Roman"/>
          <w:strike/>
          <w:sz w:val="24"/>
          <w:szCs w:val="24"/>
        </w:rPr>
        <w:t xml:space="preserve">Metal Fences only are the permitted material for Lake Lots. 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>Notwithstanding any other provision in any INSG,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o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 xml:space="preserve">nly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metal </w:t>
      </w:r>
      <w:r w:rsidRPr="00136BAB">
        <w:rPr>
          <w:rFonts w:ascii="Times New Roman" w:hAnsi="Times New Roman" w:cs="Times New Roman"/>
          <w:sz w:val="24"/>
          <w:szCs w:val="24"/>
          <w:u w:val="double"/>
        </w:rPr>
        <w:t>fences are permitted on Lots that abut a lake, pond, or conservation area</w:t>
      </w:r>
      <w:r w:rsidRPr="00136BAB">
        <w:rPr>
          <w:rFonts w:ascii="Times New Roman" w:hAnsi="Times New Roman" w:cs="Times New Roman"/>
          <w:sz w:val="24"/>
          <w:szCs w:val="24"/>
        </w:rPr>
        <w:t xml:space="preserve">. For those Units that have a side yard drainage easement as noted on the lot survey, a five (5) foot wide front gate and rear gate must be installed along the easement section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allow the CDD access to the lake frontage for maintenance purposes.</w:t>
      </w:r>
    </w:p>
    <w:p w14:paraId="78F60F51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B69116" w14:textId="77777777" w:rsidR="00C63393" w:rsidRPr="00787BF7" w:rsidRDefault="00C63393" w:rsidP="00C63393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BF7">
        <w:rPr>
          <w:rFonts w:ascii="Times New Roman" w:hAnsi="Times New Roman" w:cs="Times New Roman"/>
          <w:b/>
          <w:sz w:val="24"/>
          <w:szCs w:val="24"/>
          <w:u w:val="single"/>
        </w:rPr>
        <w:t>Proposed Amendment to Section 2.2.1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87B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through E </w:t>
      </w:r>
      <w:r w:rsidRPr="00787BF7">
        <w:rPr>
          <w:rFonts w:ascii="Times New Roman" w:hAnsi="Times New Roman" w:cs="Times New Roman"/>
          <w:b/>
          <w:sz w:val="24"/>
          <w:szCs w:val="24"/>
          <w:u w:val="single"/>
        </w:rPr>
        <w:t>of the Westchase Residential Guidelines:</w:t>
      </w:r>
    </w:p>
    <w:p w14:paraId="00E8B9CF" w14:textId="77777777" w:rsidR="00C63393" w:rsidRPr="00F4500A" w:rsidRDefault="00C63393" w:rsidP="00C63393">
      <w:pPr>
        <w:pStyle w:val="ListParagraph"/>
        <w:spacing w:after="0"/>
        <w:ind w:left="360"/>
        <w:rPr>
          <w:bCs/>
          <w:u w:val="single"/>
        </w:rPr>
      </w:pPr>
    </w:p>
    <w:p w14:paraId="7B2CF23E" w14:textId="77777777" w:rsidR="00C63393" w:rsidRPr="00136BAB" w:rsidRDefault="00C63393" w:rsidP="00C63393">
      <w:pPr>
        <w:numPr>
          <w:ilvl w:val="2"/>
          <w:numId w:val="5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AB">
        <w:rPr>
          <w:rFonts w:ascii="Times New Roman" w:hAnsi="Times New Roman" w:cs="Times New Roman"/>
          <w:b/>
          <w:sz w:val="24"/>
          <w:szCs w:val="24"/>
        </w:rPr>
        <w:t>Standard Fencing Materials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78C">
        <w:rPr>
          <w:rFonts w:ascii="Times New Roman" w:hAnsi="Times New Roman" w:cs="Times New Roman"/>
          <w:b/>
          <w:sz w:val="24"/>
          <w:szCs w:val="24"/>
          <w:u w:val="double"/>
        </w:rPr>
        <w:t>and Styles</w:t>
      </w:r>
    </w:p>
    <w:p w14:paraId="06562FA3" w14:textId="77777777" w:rsidR="00C63393" w:rsidRDefault="00C63393" w:rsidP="00C63393">
      <w:pPr>
        <w:pStyle w:val="Heading3"/>
        <w:numPr>
          <w:ilvl w:val="0"/>
          <w:numId w:val="6"/>
        </w:numPr>
        <w:spacing w:after="0"/>
        <w:rPr>
          <w:b w:val="0"/>
          <w:szCs w:val="24"/>
        </w:rPr>
      </w:pPr>
      <w:r w:rsidRPr="00136BAB">
        <w:rPr>
          <w:b w:val="0"/>
          <w:szCs w:val="24"/>
        </w:rPr>
        <w:t xml:space="preserve">Wood, </w:t>
      </w:r>
      <w:r w:rsidRPr="008A42D2">
        <w:rPr>
          <w:b w:val="0"/>
          <w:strike/>
          <w:szCs w:val="24"/>
        </w:rPr>
        <w:t>aluminum</w:t>
      </w:r>
      <w:r>
        <w:rPr>
          <w:b w:val="0"/>
          <w:strike/>
          <w:szCs w:val="24"/>
        </w:rPr>
        <w:t xml:space="preserve"> </w:t>
      </w:r>
      <w:r w:rsidRPr="008A42D2">
        <w:rPr>
          <w:b w:val="0"/>
          <w:szCs w:val="24"/>
          <w:u w:val="double"/>
        </w:rPr>
        <w:t>metal</w:t>
      </w:r>
      <w:r w:rsidRPr="00136BAB">
        <w:rPr>
          <w:b w:val="0"/>
          <w:szCs w:val="24"/>
        </w:rPr>
        <w:t xml:space="preserve">, and vinyl fences are allowed as detailed below.  </w:t>
      </w:r>
    </w:p>
    <w:p w14:paraId="336E29A7" w14:textId="77777777" w:rsidR="00C63393" w:rsidRDefault="00C63393" w:rsidP="00C63393">
      <w:pPr>
        <w:pStyle w:val="Heading3"/>
        <w:numPr>
          <w:ilvl w:val="0"/>
          <w:numId w:val="0"/>
        </w:numPr>
        <w:spacing w:after="0"/>
        <w:ind w:left="1080" w:hanging="360"/>
        <w:rPr>
          <w:b w:val="0"/>
          <w:szCs w:val="24"/>
        </w:rPr>
      </w:pPr>
      <w:r w:rsidRPr="00334330">
        <w:rPr>
          <w:b w:val="0"/>
          <w:szCs w:val="24"/>
          <w:u w:val="double"/>
        </w:rPr>
        <w:t>2.</w:t>
      </w:r>
      <w:r>
        <w:rPr>
          <w:b w:val="0"/>
          <w:szCs w:val="24"/>
        </w:rPr>
        <w:t xml:space="preserve">   </w:t>
      </w:r>
      <w:r w:rsidRPr="00334330">
        <w:rPr>
          <w:b w:val="0"/>
          <w:szCs w:val="24"/>
          <w:u w:val="double"/>
        </w:rPr>
        <w:t>P</w:t>
      </w:r>
      <w:r w:rsidRPr="00334330">
        <w:rPr>
          <w:rStyle w:val="Emphasis"/>
          <w:b w:val="0"/>
          <w:szCs w:val="24"/>
          <w:u w:val="double"/>
        </w:rPr>
        <w:t>rivacy (solid)</w:t>
      </w:r>
      <w:r w:rsidRPr="00334330">
        <w:rPr>
          <w:rStyle w:val="Emphasis"/>
          <w:b w:val="0"/>
          <w:bCs w:val="0"/>
          <w:szCs w:val="24"/>
          <w:u w:val="double"/>
        </w:rPr>
        <w:t xml:space="preserve">, </w:t>
      </w:r>
      <w:r w:rsidRPr="00334330">
        <w:rPr>
          <w:rStyle w:val="Emphasis"/>
          <w:b w:val="0"/>
          <w:szCs w:val="24"/>
          <w:u w:val="double"/>
        </w:rPr>
        <w:t>semi-privacy (space</w:t>
      </w:r>
      <w:r w:rsidRPr="00334330">
        <w:rPr>
          <w:rStyle w:val="Emphasis"/>
          <w:b w:val="0"/>
          <w:bCs w:val="0"/>
          <w:szCs w:val="24"/>
          <w:u w:val="double"/>
        </w:rPr>
        <w:t>d</w:t>
      </w:r>
      <w:r w:rsidRPr="00334330">
        <w:rPr>
          <w:rStyle w:val="Emphasis"/>
          <w:b w:val="0"/>
          <w:szCs w:val="24"/>
          <w:u w:val="double"/>
        </w:rPr>
        <w:t xml:space="preserve"> board), shadowbox</w:t>
      </w:r>
      <w:r w:rsidRPr="00334330">
        <w:rPr>
          <w:rStyle w:val="Emphasis"/>
          <w:b w:val="0"/>
          <w:bCs w:val="0"/>
          <w:szCs w:val="24"/>
          <w:u w:val="double"/>
        </w:rPr>
        <w:t>, and</w:t>
      </w:r>
      <w:r w:rsidRPr="00334330">
        <w:rPr>
          <w:rStyle w:val="Emphasis"/>
          <w:b w:val="0"/>
          <w:szCs w:val="24"/>
          <w:u w:val="double"/>
        </w:rPr>
        <w:t xml:space="preserve"> board on board styles are permitted as detailed below.</w:t>
      </w:r>
    </w:p>
    <w:p w14:paraId="2440B04E" w14:textId="77777777" w:rsidR="00C63393" w:rsidRDefault="00C63393" w:rsidP="00C63393">
      <w:pPr>
        <w:pStyle w:val="Heading3"/>
        <w:numPr>
          <w:ilvl w:val="0"/>
          <w:numId w:val="0"/>
        </w:numPr>
        <w:spacing w:after="0"/>
        <w:ind w:left="1080" w:hanging="360"/>
        <w:rPr>
          <w:szCs w:val="24"/>
        </w:rPr>
      </w:pPr>
      <w:r w:rsidRPr="00334330">
        <w:rPr>
          <w:b w:val="0"/>
          <w:szCs w:val="24"/>
          <w:u w:val="double"/>
        </w:rPr>
        <w:t>3.</w:t>
      </w:r>
      <w:r>
        <w:rPr>
          <w:b w:val="0"/>
          <w:szCs w:val="24"/>
        </w:rPr>
        <w:t xml:space="preserve">   </w:t>
      </w:r>
      <w:r w:rsidRPr="00136BAB">
        <w:rPr>
          <w:b w:val="0"/>
          <w:szCs w:val="24"/>
        </w:rPr>
        <w:t>Additional materials and styles may be allowed if indicated in an INSG.</w:t>
      </w:r>
      <w:r w:rsidRPr="00136BAB">
        <w:rPr>
          <w:szCs w:val="24"/>
        </w:rPr>
        <w:t xml:space="preserve">  </w:t>
      </w:r>
      <w:r w:rsidRPr="00EF47B0">
        <w:rPr>
          <w:b w:val="0"/>
          <w:szCs w:val="24"/>
          <w:u w:val="double"/>
        </w:rPr>
        <w:t xml:space="preserve">Limitations on materials, styles, </w:t>
      </w:r>
      <w:proofErr w:type="gramStart"/>
      <w:r w:rsidRPr="00EF47B0">
        <w:rPr>
          <w:b w:val="0"/>
          <w:szCs w:val="24"/>
          <w:u w:val="double"/>
        </w:rPr>
        <w:t>locations</w:t>
      </w:r>
      <w:proofErr w:type="gramEnd"/>
      <w:r w:rsidRPr="00EF47B0">
        <w:rPr>
          <w:b w:val="0"/>
          <w:szCs w:val="24"/>
          <w:u w:val="double"/>
        </w:rPr>
        <w:t xml:space="preserve"> and heights may be imposed in an INSG.</w:t>
      </w:r>
      <w:r>
        <w:rPr>
          <w:szCs w:val="24"/>
        </w:rPr>
        <w:t xml:space="preserve"> </w:t>
      </w:r>
    </w:p>
    <w:p w14:paraId="60B8627F" w14:textId="77777777" w:rsidR="00C63393" w:rsidRPr="00136BAB" w:rsidRDefault="00C63393" w:rsidP="00C63393">
      <w:pPr>
        <w:pStyle w:val="Heading3"/>
        <w:numPr>
          <w:ilvl w:val="0"/>
          <w:numId w:val="0"/>
        </w:numPr>
        <w:spacing w:after="0"/>
        <w:ind w:left="1080" w:hanging="360"/>
        <w:rPr>
          <w:b w:val="0"/>
          <w:szCs w:val="24"/>
        </w:rPr>
      </w:pPr>
      <w:r w:rsidRPr="00334330">
        <w:rPr>
          <w:b w:val="0"/>
          <w:szCs w:val="24"/>
          <w:u w:val="double"/>
        </w:rPr>
        <w:t>4.</w:t>
      </w:r>
      <w:r>
        <w:rPr>
          <w:szCs w:val="24"/>
        </w:rPr>
        <w:t xml:space="preserve">   </w:t>
      </w:r>
      <w:r w:rsidRPr="00136BAB">
        <w:rPr>
          <w:b w:val="0"/>
          <w:szCs w:val="24"/>
        </w:rPr>
        <w:t>All fences on a Unit must be of the same material and style unless otherwise required by INSG.</w:t>
      </w:r>
    </w:p>
    <w:p w14:paraId="1CA78AE4" w14:textId="77777777" w:rsidR="00C63393" w:rsidRPr="00136BAB" w:rsidRDefault="00C63393" w:rsidP="00C63393">
      <w:pPr>
        <w:pStyle w:val="Heading3"/>
        <w:numPr>
          <w:ilvl w:val="0"/>
          <w:numId w:val="0"/>
        </w:numPr>
        <w:spacing w:after="0"/>
        <w:ind w:left="1080" w:hanging="360"/>
        <w:rPr>
          <w:b w:val="0"/>
          <w:szCs w:val="24"/>
        </w:rPr>
      </w:pPr>
      <w:r w:rsidRPr="00334330">
        <w:rPr>
          <w:b w:val="0"/>
          <w:strike/>
          <w:szCs w:val="24"/>
        </w:rPr>
        <w:t>2.</w:t>
      </w:r>
      <w:r>
        <w:rPr>
          <w:b w:val="0"/>
          <w:szCs w:val="24"/>
        </w:rPr>
        <w:t xml:space="preserve"> </w:t>
      </w:r>
      <w:r w:rsidRPr="00334330">
        <w:rPr>
          <w:b w:val="0"/>
          <w:szCs w:val="24"/>
          <w:u w:val="double"/>
        </w:rPr>
        <w:t>5.</w:t>
      </w:r>
      <w:r>
        <w:rPr>
          <w:b w:val="0"/>
          <w:szCs w:val="24"/>
        </w:rPr>
        <w:t xml:space="preserve">  </w:t>
      </w:r>
      <w:r w:rsidRPr="00136BAB">
        <w:rPr>
          <w:b w:val="0"/>
          <w:szCs w:val="24"/>
        </w:rPr>
        <w:t>Chain link and vinyl clad chain link fences with metal post are only permitted as provided in INSG.</w:t>
      </w:r>
    </w:p>
    <w:p w14:paraId="6287FDC1" w14:textId="77777777" w:rsidR="00C63393" w:rsidRPr="00334330" w:rsidRDefault="00C63393" w:rsidP="00C63393">
      <w:pPr>
        <w:pStyle w:val="Heading3"/>
        <w:numPr>
          <w:ilvl w:val="0"/>
          <w:numId w:val="6"/>
        </w:numPr>
        <w:spacing w:after="0"/>
        <w:rPr>
          <w:b w:val="0"/>
          <w:strike/>
          <w:szCs w:val="24"/>
        </w:rPr>
      </w:pPr>
      <w:r w:rsidRPr="00334330">
        <w:rPr>
          <w:b w:val="0"/>
          <w:strike/>
          <w:szCs w:val="24"/>
        </w:rPr>
        <w:t xml:space="preserve">Clear wood stain or clear wood sealant for fencing is allowed. </w:t>
      </w:r>
    </w:p>
    <w:p w14:paraId="161EC668" w14:textId="77777777" w:rsidR="00C63393" w:rsidRPr="00334330" w:rsidRDefault="00C63393" w:rsidP="00C633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Colored stain will be allowed for wood fences </w:t>
      </w:r>
      <w:proofErr w:type="gramStart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the color is comparable to Sherwin Williams semi-transparent stain colors Baja Beige (SW 3509), Banyan Brown (SW 3522), Crossroads (SW 3521) or Woodbridge (SW 3504) over which a clear sealant can be applied. </w:t>
      </w:r>
    </w:p>
    <w:p w14:paraId="35AE4FD6" w14:textId="77777777" w:rsidR="00C63393" w:rsidRPr="00334330" w:rsidRDefault="00C63393" w:rsidP="00C633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As an alternative, a stain and sealer combination will be allowed for wood fences </w:t>
      </w:r>
      <w:proofErr w:type="gramStart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the color is comparable to Thompson’s Water Seal Semi-Transparent Stain and Sealer colors Natural Cedar, Honey Gold or Timber Brown. </w:t>
      </w:r>
    </w:p>
    <w:p w14:paraId="7B39863A" w14:textId="77777777" w:rsidR="00C63393" w:rsidRPr="00334330" w:rsidRDefault="00C63393" w:rsidP="00C633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Any manufacturer’s product may be used </w:t>
      </w:r>
      <w:proofErr w:type="gramStart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the colors are comparable.</w:t>
      </w:r>
    </w:p>
    <w:p w14:paraId="68DF55D4" w14:textId="77777777" w:rsidR="00C63393" w:rsidRDefault="00C63393" w:rsidP="00C63393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330">
        <w:rPr>
          <w:rFonts w:ascii="Times New Roman" w:eastAsia="Times New Roman" w:hAnsi="Times New Roman" w:cs="Times New Roman"/>
          <w:bCs/>
          <w:strike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6</w:t>
      </w:r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36BAB">
        <w:rPr>
          <w:rFonts w:ascii="Times New Roman" w:eastAsia="Times New Roman" w:hAnsi="Times New Roman" w:cs="Times New Roman"/>
          <w:bCs/>
          <w:sz w:val="24"/>
          <w:szCs w:val="24"/>
        </w:rPr>
        <w:t>No painting of any fence is allowed, unless being used to screen mechanical equipment or otherwise specified in INSG.</w:t>
      </w:r>
    </w:p>
    <w:p w14:paraId="5AECA278" w14:textId="77777777" w:rsidR="00C63393" w:rsidRPr="00334330" w:rsidRDefault="00C63393" w:rsidP="00C6339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21CA7B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AB">
        <w:rPr>
          <w:rFonts w:ascii="Times New Roman" w:hAnsi="Times New Roman" w:cs="Times New Roman"/>
          <w:b/>
          <w:sz w:val="24"/>
          <w:szCs w:val="24"/>
        </w:rPr>
        <w:t>A. Shadowbox Fence</w:t>
      </w:r>
    </w:p>
    <w:p w14:paraId="0261B850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3">
        <w:rPr>
          <w:rFonts w:ascii="Times New Roman" w:hAnsi="Times New Roman" w:cs="Times New Roman"/>
          <w:sz w:val="24"/>
          <w:szCs w:val="24"/>
        </w:rPr>
        <w:t xml:space="preserve">Must be made of </w:t>
      </w:r>
      <w:r w:rsidRPr="00DC06A3">
        <w:rPr>
          <w:rFonts w:ascii="Times New Roman" w:hAnsi="Times New Roman" w:cs="Times New Roman"/>
          <w:strike/>
          <w:sz w:val="24"/>
          <w:szCs w:val="24"/>
        </w:rPr>
        <w:t>cypress, pressure treated #2 spru</w:t>
      </w:r>
      <w:r>
        <w:rPr>
          <w:rFonts w:ascii="Times New Roman" w:hAnsi="Times New Roman" w:cs="Times New Roman"/>
          <w:strike/>
          <w:sz w:val="24"/>
          <w:szCs w:val="24"/>
        </w:rPr>
        <w:t>ce or pressure treated pine only</w:t>
      </w:r>
      <w:r w:rsidRPr="00DC06A3">
        <w:rPr>
          <w:rFonts w:ascii="Times New Roman" w:hAnsi="Times New Roman" w:cs="Times New Roman"/>
          <w:sz w:val="24"/>
          <w:szCs w:val="24"/>
          <w:u w:val="double"/>
        </w:rPr>
        <w:t xml:space="preserve"> viny</w:t>
      </w:r>
      <w:r>
        <w:rPr>
          <w:rFonts w:ascii="Times New Roman" w:hAnsi="Times New Roman" w:cs="Times New Roman"/>
          <w:sz w:val="24"/>
          <w:szCs w:val="24"/>
          <w:u w:val="double"/>
        </w:rPr>
        <w:t>l as set forth in sub-section D</w:t>
      </w:r>
      <w:r w:rsidRPr="00DC06A3">
        <w:rPr>
          <w:rFonts w:ascii="Times New Roman" w:hAnsi="Times New Roman" w:cs="Times New Roman"/>
          <w:sz w:val="24"/>
          <w:szCs w:val="24"/>
          <w:u w:val="double"/>
        </w:rPr>
        <w:t xml:space="preserve"> below, or wood, as set forth in sub-section E below</w:t>
      </w:r>
      <w:r w:rsidRPr="00DC06A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E8908D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6A3">
        <w:rPr>
          <w:rFonts w:ascii="Times New Roman" w:hAnsi="Times New Roman" w:cs="Times New Roman"/>
          <w:sz w:val="24"/>
          <w:szCs w:val="24"/>
        </w:rPr>
        <w:t xml:space="preserve">Posts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be four </w:t>
      </w:r>
      <w:proofErr w:type="gramStart"/>
      <w:r w:rsidRPr="00DC06A3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DC06A3">
        <w:rPr>
          <w:rFonts w:ascii="Times New Roman" w:hAnsi="Times New Roman" w:cs="Times New Roman"/>
          <w:sz w:val="24"/>
          <w:szCs w:val="24"/>
        </w:rPr>
        <w:t xml:space="preserve"> by four inch (4” x 4”) by eight feet (8’) and set in ground two feet (2’).</w:t>
      </w:r>
    </w:p>
    <w:p w14:paraId="69FE79F8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3">
        <w:rPr>
          <w:rFonts w:ascii="Times New Roman" w:hAnsi="Times New Roman" w:cs="Times New Roman"/>
          <w:sz w:val="24"/>
          <w:szCs w:val="24"/>
        </w:rPr>
        <w:t xml:space="preserve">Post </w:t>
      </w:r>
      <w:proofErr w:type="gramStart"/>
      <w:r w:rsidRPr="00DC06A3">
        <w:rPr>
          <w:rFonts w:ascii="Times New Roman" w:hAnsi="Times New Roman" w:cs="Times New Roman"/>
          <w:sz w:val="24"/>
          <w:szCs w:val="24"/>
        </w:rPr>
        <w:t xml:space="preserve">spacing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be no more than eight feet (8’).</w:t>
      </w:r>
    </w:p>
    <w:p w14:paraId="6299FC87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6A3">
        <w:rPr>
          <w:rFonts w:ascii="Times New Roman" w:hAnsi="Times New Roman" w:cs="Times New Roman"/>
          <w:sz w:val="24"/>
          <w:szCs w:val="24"/>
        </w:rPr>
        <w:lastRenderedPageBreak/>
        <w:t xml:space="preserve">Stringers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be two inches by four inches (2” x 4”) and attach to posts using 13d nails.</w:t>
      </w:r>
    </w:p>
    <w:p w14:paraId="4879B44A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3">
        <w:rPr>
          <w:rFonts w:ascii="Times New Roman" w:hAnsi="Times New Roman" w:cs="Times New Roman"/>
          <w:sz w:val="24"/>
          <w:szCs w:val="24"/>
        </w:rPr>
        <w:t xml:space="preserve">Outside Rails/Top Face Board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be one-half inch by four inch (½” x 4”) using one and one-half inch (1 ½</w:t>
      </w:r>
      <w:proofErr w:type="gramStart"/>
      <w:r w:rsidRPr="00DC06A3">
        <w:rPr>
          <w:rFonts w:ascii="Times New Roman" w:hAnsi="Times New Roman" w:cs="Times New Roman"/>
          <w:sz w:val="24"/>
          <w:szCs w:val="24"/>
        </w:rPr>
        <w:t>”)  galvanized</w:t>
      </w:r>
      <w:proofErr w:type="gramEnd"/>
      <w:r w:rsidRPr="00DC06A3">
        <w:rPr>
          <w:rFonts w:ascii="Times New Roman" w:hAnsi="Times New Roman" w:cs="Times New Roman"/>
          <w:sz w:val="24"/>
          <w:szCs w:val="24"/>
        </w:rPr>
        <w:t xml:space="preserve"> fastener.</w:t>
      </w:r>
    </w:p>
    <w:p w14:paraId="00064E48" w14:textId="77777777" w:rsidR="00C63393" w:rsidRPr="00DC06A3" w:rsidRDefault="00C63393" w:rsidP="00C633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3">
        <w:rPr>
          <w:rFonts w:ascii="Times New Roman" w:hAnsi="Times New Roman" w:cs="Times New Roman"/>
          <w:sz w:val="24"/>
          <w:szCs w:val="24"/>
        </w:rPr>
        <w:t xml:space="preserve">Pickets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be one-half inch by </w:t>
      </w:r>
      <w:proofErr w:type="gramStart"/>
      <w:r w:rsidRPr="00DC06A3">
        <w:rPr>
          <w:rFonts w:ascii="Times New Roman" w:hAnsi="Times New Roman" w:cs="Times New Roman"/>
          <w:sz w:val="24"/>
          <w:szCs w:val="24"/>
        </w:rPr>
        <w:t>four or six inch</w:t>
      </w:r>
      <w:proofErr w:type="gramEnd"/>
      <w:r w:rsidRPr="00DC06A3">
        <w:rPr>
          <w:rFonts w:ascii="Times New Roman" w:hAnsi="Times New Roman" w:cs="Times New Roman"/>
          <w:sz w:val="24"/>
          <w:szCs w:val="24"/>
        </w:rPr>
        <w:t xml:space="preserve"> (½” x 4” or 6”) using one and one-half inch (1 ½”) galvanized fastener at the two inch by three inch (2” x 3”) stringer.</w:t>
      </w:r>
    </w:p>
    <w:p w14:paraId="0CF5DA01" w14:textId="77777777" w:rsidR="00C63393" w:rsidRPr="00DC06A3" w:rsidRDefault="00C63393" w:rsidP="00C633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B91488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AB">
        <w:rPr>
          <w:rFonts w:ascii="Times New Roman" w:hAnsi="Times New Roman" w:cs="Times New Roman"/>
          <w:b/>
          <w:sz w:val="24"/>
          <w:szCs w:val="24"/>
        </w:rPr>
        <w:t>B. Board on Board Fence</w:t>
      </w:r>
    </w:p>
    <w:p w14:paraId="2D55876F" w14:textId="77777777" w:rsidR="00C63393" w:rsidRPr="00D0278C" w:rsidRDefault="00C63393" w:rsidP="00C633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3">
        <w:rPr>
          <w:rFonts w:ascii="Times New Roman" w:hAnsi="Times New Roman" w:cs="Times New Roman"/>
          <w:sz w:val="24"/>
          <w:szCs w:val="24"/>
        </w:rPr>
        <w:t>Must be made of</w:t>
      </w:r>
      <w:r w:rsidRPr="00D0278C">
        <w:rPr>
          <w:rFonts w:ascii="Times New Roman" w:hAnsi="Times New Roman" w:cs="Times New Roman"/>
          <w:strike/>
          <w:sz w:val="24"/>
          <w:szCs w:val="24"/>
        </w:rPr>
        <w:t xml:space="preserve"> cypress, pressure treated #2 spruce or pressure treated pine only</w:t>
      </w:r>
      <w:r w:rsidRPr="00D0278C">
        <w:rPr>
          <w:rFonts w:ascii="Times New Roman" w:hAnsi="Times New Roman" w:cs="Times New Roman"/>
          <w:sz w:val="24"/>
          <w:szCs w:val="24"/>
        </w:rPr>
        <w:t xml:space="preserve"> </w:t>
      </w:r>
      <w:r w:rsidRPr="00D0278C">
        <w:rPr>
          <w:rFonts w:ascii="Times New Roman" w:hAnsi="Times New Roman" w:cs="Times New Roman"/>
          <w:sz w:val="24"/>
          <w:szCs w:val="24"/>
          <w:u w:val="double"/>
        </w:rPr>
        <w:t>vinyl as set forth in sub-section D, below, or wood, as set forth in sub-section E, below</w:t>
      </w:r>
      <w:r w:rsidRPr="00DC06A3">
        <w:rPr>
          <w:rFonts w:ascii="Times New Roman" w:hAnsi="Times New Roman" w:cs="Times New Roman"/>
          <w:sz w:val="24"/>
          <w:szCs w:val="24"/>
        </w:rPr>
        <w:t>.</w:t>
      </w:r>
      <w:r w:rsidRPr="00D027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396F69" w14:textId="77777777" w:rsidR="00C63393" w:rsidRPr="00136BAB" w:rsidRDefault="00C63393" w:rsidP="00C633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Posts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four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by four inch (4” x 4”) by eight feet (8’) and set in ground two feet (2’).</w:t>
      </w:r>
    </w:p>
    <w:p w14:paraId="4773F0ED" w14:textId="77777777" w:rsidR="00C63393" w:rsidRPr="00136BAB" w:rsidRDefault="00C63393" w:rsidP="00C633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Post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spacing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no more than eight feet (8’).</w:t>
      </w:r>
    </w:p>
    <w:p w14:paraId="45EE8F83" w14:textId="77777777" w:rsidR="00C63393" w:rsidRPr="00136BAB" w:rsidRDefault="00C63393" w:rsidP="00C633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Stringers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sz w:val="24"/>
          <w:szCs w:val="24"/>
        </w:rPr>
        <w:t>be two inches by four inches (2” x 4”) and attach to posts using 13d nails.</w:t>
      </w:r>
    </w:p>
    <w:p w14:paraId="6C045F24" w14:textId="77777777" w:rsidR="00C63393" w:rsidRPr="00136BAB" w:rsidRDefault="00C63393" w:rsidP="00C633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Pickets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one-half inch by four or six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(½” x 4” or 6”). </w:t>
      </w:r>
    </w:p>
    <w:p w14:paraId="7EC2DE03" w14:textId="77777777" w:rsidR="00C63393" w:rsidRPr="00136BAB" w:rsidRDefault="00C63393" w:rsidP="00C63393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C15B3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AB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5A5327">
        <w:rPr>
          <w:rFonts w:ascii="Times New Roman" w:hAnsi="Times New Roman" w:cs="Times New Roman"/>
          <w:b/>
          <w:strike/>
          <w:sz w:val="24"/>
          <w:szCs w:val="24"/>
        </w:rPr>
        <w:t>Aluminum</w:t>
      </w:r>
      <w:r w:rsidRPr="00136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327">
        <w:rPr>
          <w:rFonts w:ascii="Times New Roman" w:hAnsi="Times New Roman" w:cs="Times New Roman"/>
          <w:b/>
          <w:sz w:val="24"/>
          <w:szCs w:val="24"/>
          <w:u w:val="double"/>
        </w:rPr>
        <w:t>Metal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b/>
          <w:sz w:val="24"/>
          <w:szCs w:val="24"/>
        </w:rPr>
        <w:t xml:space="preserve">Fencing </w:t>
      </w:r>
      <w:r w:rsidRPr="00D0278C">
        <w:rPr>
          <w:rFonts w:ascii="Times New Roman" w:hAnsi="Times New Roman" w:cs="Times New Roman"/>
          <w:b/>
          <w:strike/>
          <w:sz w:val="24"/>
          <w:szCs w:val="24"/>
        </w:rPr>
        <w:t>(Residential Grade Flush bottom)</w:t>
      </w:r>
    </w:p>
    <w:p w14:paraId="74692A33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>Must be black in color.</w:t>
      </w:r>
    </w:p>
    <w:p w14:paraId="0184CCE2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Posts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five feet (5’) above ground</w:t>
      </w:r>
      <w:r w:rsidRPr="00AA24F9">
        <w:rPr>
          <w:rFonts w:ascii="Times New Roman" w:hAnsi="Times New Roman" w:cs="Times New Roman"/>
          <w:sz w:val="24"/>
          <w:szCs w:val="24"/>
          <w:u w:val="double"/>
        </w:rPr>
        <w:t xml:space="preserve">,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unless otherwise specified in INSG or Subsection E below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, </w:t>
      </w:r>
      <w:r w:rsidRPr="00AA24F9">
        <w:rPr>
          <w:rFonts w:ascii="Times New Roman" w:hAnsi="Times New Roman" w:cs="Times New Roman"/>
          <w:sz w:val="24"/>
          <w:szCs w:val="24"/>
          <w:u w:val="double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sz w:val="24"/>
          <w:szCs w:val="24"/>
        </w:rPr>
        <w:t xml:space="preserve">of two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by 2 inch (2” x 2”) square </w:t>
      </w:r>
      <w:r w:rsidRPr="005F704A">
        <w:rPr>
          <w:rFonts w:ascii="Times New Roman" w:hAnsi="Times New Roman" w:cs="Times New Roman"/>
          <w:strike/>
          <w:sz w:val="24"/>
          <w:szCs w:val="24"/>
        </w:rPr>
        <w:t>aluminum</w:t>
      </w:r>
      <w:r w:rsidRPr="00136BAB">
        <w:rPr>
          <w:rFonts w:ascii="Times New Roman" w:hAnsi="Times New Roman" w:cs="Times New Roman"/>
          <w:sz w:val="24"/>
          <w:szCs w:val="24"/>
        </w:rPr>
        <w:t xml:space="preserve"> </w:t>
      </w:r>
      <w:r w:rsidRPr="005F704A">
        <w:rPr>
          <w:rFonts w:ascii="Times New Roman" w:hAnsi="Times New Roman" w:cs="Times New Roman"/>
          <w:sz w:val="24"/>
          <w:szCs w:val="24"/>
          <w:u w:val="double"/>
        </w:rPr>
        <w:t>metal</w:t>
      </w:r>
      <w:r>
        <w:rPr>
          <w:rFonts w:ascii="Times New Roman" w:hAnsi="Times New Roman" w:cs="Times New Roman"/>
          <w:sz w:val="24"/>
          <w:szCs w:val="24"/>
          <w:u w:val="doub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sz w:val="24"/>
          <w:szCs w:val="24"/>
        </w:rPr>
        <w:t xml:space="preserve">and be installed a minimum of two feet, six inches (2’ 6”) into footing, unless otherwise specified in INSG. </w:t>
      </w:r>
    </w:p>
    <w:p w14:paraId="5EB4B25F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Post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tops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two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by two inch (2” x 2”) Flattop, ball or pyramid top style.</w:t>
      </w:r>
    </w:p>
    <w:p w14:paraId="552BD029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Post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spacing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six feet (6’) apart.</w:t>
      </w:r>
    </w:p>
    <w:p w14:paraId="0CDD9E8C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Bottom rails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one and one-half inch by one and one-half inch (1 ½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“ x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1 ½”) and set four inches (4”) above grade.</w:t>
      </w:r>
    </w:p>
    <w:p w14:paraId="2D1818AF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AB">
        <w:rPr>
          <w:rFonts w:ascii="Times New Roman" w:hAnsi="Times New Roman" w:cs="Times New Roman"/>
          <w:sz w:val="24"/>
          <w:szCs w:val="24"/>
        </w:rPr>
        <w:t>Upper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rail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set four feet, five inches (4’ </w:t>
      </w:r>
      <w:r w:rsidRPr="005F704A">
        <w:rPr>
          <w:rFonts w:ascii="Times New Roman" w:hAnsi="Times New Roman" w:cs="Times New Roman"/>
          <w:sz w:val="24"/>
          <w:szCs w:val="24"/>
        </w:rPr>
        <w:t>5”</w:t>
      </w:r>
      <w:r w:rsidRPr="00136BAB">
        <w:rPr>
          <w:rFonts w:ascii="Times New Roman" w:hAnsi="Times New Roman" w:cs="Times New Roman"/>
          <w:sz w:val="24"/>
          <w:szCs w:val="24"/>
        </w:rPr>
        <w:t>) above grade and seven inches (7”) below the top rail.</w:t>
      </w:r>
    </w:p>
    <w:p w14:paraId="1077B16B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 xml:space="preserve">Top rail </w:t>
      </w:r>
      <w:proofErr w:type="gramStart"/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Fonts w:ascii="Times New Roman" w:hAnsi="Times New Roman" w:cs="Times New Roman"/>
          <w:sz w:val="24"/>
          <w:szCs w:val="24"/>
        </w:rPr>
        <w:t xml:space="preserve"> be a height of five feet (5’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), unless otherwise specified in INSG or Subsection E below</w:t>
      </w:r>
      <w:r w:rsidRPr="00136BAB">
        <w:rPr>
          <w:rFonts w:ascii="Times New Roman" w:hAnsi="Times New Roman" w:cs="Times New Roman"/>
          <w:sz w:val="24"/>
          <w:szCs w:val="24"/>
        </w:rPr>
        <w:t>.</w:t>
      </w:r>
    </w:p>
    <w:p w14:paraId="5ADE000E" w14:textId="77777777" w:rsidR="00C63393" w:rsidRPr="00136BAB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AB">
        <w:rPr>
          <w:rFonts w:ascii="Times New Roman" w:hAnsi="Times New Roman" w:cs="Times New Roman"/>
          <w:sz w:val="24"/>
          <w:szCs w:val="24"/>
        </w:rPr>
        <w:t xml:space="preserve">Pickets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DC06A3">
        <w:rPr>
          <w:rFonts w:ascii="Times New Roman" w:hAnsi="Times New Roman" w:cs="Times New Roman"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sz w:val="24"/>
          <w:szCs w:val="24"/>
        </w:rPr>
        <w:t xml:space="preserve">be five-eighths of an inch (5/8”) square and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a distance of four</w:t>
      </w:r>
      <w:proofErr w:type="gramEnd"/>
      <w:r w:rsidRPr="00136BAB">
        <w:rPr>
          <w:rFonts w:ascii="Times New Roman" w:hAnsi="Times New Roman" w:cs="Times New Roman"/>
          <w:sz w:val="24"/>
          <w:szCs w:val="24"/>
        </w:rPr>
        <w:t xml:space="preserve"> inches (4”) from post. Pickets shall be flat top or pointed-top </w:t>
      </w:r>
      <w:proofErr w:type="gramStart"/>
      <w:r w:rsidRPr="00136BAB">
        <w:rPr>
          <w:rFonts w:ascii="Times New Roman" w:hAnsi="Times New Roman" w:cs="Times New Roman"/>
          <w:sz w:val="24"/>
          <w:szCs w:val="24"/>
        </w:rPr>
        <w:t>pickets</w:t>
      </w:r>
      <w:proofErr w:type="gramEnd"/>
    </w:p>
    <w:p w14:paraId="11B4FD0B" w14:textId="77777777" w:rsidR="00C63393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AB">
        <w:rPr>
          <w:rFonts w:ascii="Times New Roman" w:hAnsi="Times New Roman" w:cs="Times New Roman"/>
          <w:sz w:val="24"/>
          <w:szCs w:val="24"/>
        </w:rPr>
        <w:t>Does not require step</w:t>
      </w:r>
      <w:r w:rsidRPr="00136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sz w:val="24"/>
          <w:szCs w:val="24"/>
        </w:rPr>
        <w:t>down halfway back on rear of property on affected lots.</w:t>
      </w:r>
    </w:p>
    <w:p w14:paraId="675C4E4F" w14:textId="77777777" w:rsidR="00C63393" w:rsidRPr="00EF47B0" w:rsidRDefault="00C63393" w:rsidP="00C633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Metal may</w:t>
      </w:r>
      <w:r w:rsidRPr="00EF47B0">
        <w:rPr>
          <w:rFonts w:ascii="Times New Roman" w:hAnsi="Times New Roman" w:cs="Times New Roman"/>
          <w:sz w:val="24"/>
          <w:szCs w:val="24"/>
          <w:u w:val="double"/>
        </w:rPr>
        <w:t xml:space="preserve"> be residential or commercial grade. </w:t>
      </w:r>
    </w:p>
    <w:p w14:paraId="5B351932" w14:textId="77777777" w:rsidR="00C63393" w:rsidRDefault="00C63393" w:rsidP="00C63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46D9B" w14:textId="77777777" w:rsidR="00C63393" w:rsidRPr="00136BAB" w:rsidRDefault="00C63393" w:rsidP="00C63393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136BAB">
        <w:rPr>
          <w:rFonts w:ascii="Times New Roman" w:hAnsi="Times New Roman" w:cs="Times New Roman"/>
          <w:b/>
          <w:sz w:val="24"/>
          <w:szCs w:val="24"/>
        </w:rPr>
        <w:t xml:space="preserve">Vinyl </w:t>
      </w:r>
      <w:r w:rsidRPr="00D0278C">
        <w:rPr>
          <w:rFonts w:ascii="Times New Roman" w:hAnsi="Times New Roman" w:cs="Times New Roman"/>
          <w:b/>
          <w:sz w:val="24"/>
          <w:szCs w:val="24"/>
          <w:u w:val="double"/>
        </w:rPr>
        <w:t>Fencing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78C">
        <w:rPr>
          <w:rFonts w:ascii="Times New Roman" w:hAnsi="Times New Roman" w:cs="Times New Roman"/>
          <w:b/>
          <w:strike/>
          <w:sz w:val="24"/>
          <w:szCs w:val="24"/>
        </w:rPr>
        <w:t>Fence</w:t>
      </w:r>
      <w:r w:rsidRPr="00136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AB">
        <w:rPr>
          <w:rFonts w:ascii="Times New Roman" w:hAnsi="Times New Roman" w:cs="Times New Roman"/>
          <w:b/>
          <w:strike/>
          <w:sz w:val="24"/>
          <w:szCs w:val="24"/>
        </w:rPr>
        <w:t>(1/12/19)</w:t>
      </w:r>
    </w:p>
    <w:p w14:paraId="6DBD9000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Only virgin vinyl material shall be used.  Recycled vinyl materials are prohibited.</w:t>
      </w:r>
    </w:p>
    <w:p w14:paraId="1C4A2EC9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>Permitted styles include only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Only</w:t>
      </w:r>
      <w:proofErr w:type="spellEnd"/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privacy (solid)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>,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or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semi-privacy (space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>d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board) </w:t>
      </w:r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styles are allowed to be consistent with wood fence styles (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shadowbox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>, and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or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board on board</w:t>
      </w:r>
      <w:r w:rsidRPr="00136BAB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)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.</w:t>
      </w:r>
    </w:p>
    <w:p w14:paraId="64F1A651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Material must be beige, tan, light </w:t>
      </w:r>
      <w:proofErr w:type="gramStart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brown</w:t>
      </w:r>
      <w:proofErr w:type="gramEnd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or weathered gray in color.  A wood grain look is preferred. </w:t>
      </w:r>
    </w:p>
    <w:p w14:paraId="25864E57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Material must be warranted for at least 20 </w:t>
      </w:r>
      <w:proofErr w:type="gramStart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years</w:t>
      </w:r>
      <w:proofErr w:type="gramEnd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but a lifetime warranty is preferred.</w:t>
      </w:r>
    </w:p>
    <w:p w14:paraId="2C781C13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Fence</w:t>
      </w:r>
      <w:proofErr w:type="gramEnd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must be a consistent height without latticework or pickets.   </w:t>
      </w:r>
    </w:p>
    <w:p w14:paraId="16D9CEC9" w14:textId="77777777" w:rsidR="00C63393" w:rsidRPr="00136BAB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lastRenderedPageBreak/>
        <w:t>Posts must be a minimum of five inch by five inch (5" x 5") by eight feet (8') and set in the ground</w:t>
      </w:r>
      <w:r>
        <w:rPr>
          <w:rStyle w:val="Emphasis"/>
          <w:rFonts w:ascii="Times New Roman" w:hAnsi="Times New Roman" w:cs="Times New Roman"/>
          <w:bCs/>
          <w:sz w:val="24"/>
          <w:szCs w:val="24"/>
        </w:rPr>
        <w:t> two feet (2').  However, four-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inch by four-inch (4” x 4”) posts are acceptable for fences that are four </w:t>
      </w:r>
      <w:proofErr w:type="gramStart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foot</w:t>
      </w:r>
      <w:proofErr w:type="gramEnd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(4’) in height.  </w:t>
      </w:r>
      <w:r w:rsidRPr="005F704A"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>Aluminum</w:t>
      </w:r>
      <w:r>
        <w:rPr>
          <w:rStyle w:val="Emphasis"/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Pr="005F704A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 xml:space="preserve">Metal 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>inserts must be included on the bottom rail on any panel over six feet (6’) in width.</w:t>
      </w:r>
    </w:p>
    <w:p w14:paraId="3CDEAC3E" w14:textId="77777777" w:rsidR="00C63393" w:rsidRPr="00334330" w:rsidRDefault="00C63393" w:rsidP="00C63393">
      <w:pPr>
        <w:numPr>
          <w:ilvl w:val="6"/>
          <w:numId w:val="4"/>
        </w:numPr>
        <w:tabs>
          <w:tab w:val="num" w:pos="1092"/>
        </w:tabs>
        <w:spacing w:after="0" w:line="240" w:lineRule="auto"/>
        <w:ind w:left="1092" w:hanging="390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Post </w:t>
      </w:r>
      <w:proofErr w:type="gramStart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spacing </w:t>
      </w:r>
      <w:r w:rsidRPr="00B67DA8">
        <w:rPr>
          <w:rFonts w:ascii="Times New Roman" w:hAnsi="Times New Roman" w:cs="Times New Roman"/>
          <w:strike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DA8">
        <w:rPr>
          <w:rFonts w:ascii="Times New Roman" w:hAnsi="Times New Roman" w:cs="Times New Roman"/>
          <w:sz w:val="24"/>
          <w:szCs w:val="24"/>
          <w:u w:val="double"/>
        </w:rPr>
        <w:t>must</w:t>
      </w:r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to</w:t>
      </w:r>
      <w:proofErr w:type="gramEnd"/>
      <w:r w:rsidRPr="00136BAB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be no more than eight feet (8').</w:t>
      </w:r>
    </w:p>
    <w:p w14:paraId="45829B58" w14:textId="77777777" w:rsidR="00C63393" w:rsidRPr="00334330" w:rsidRDefault="00C63393" w:rsidP="00C63393">
      <w:pPr>
        <w:tabs>
          <w:tab w:val="num" w:pos="5040"/>
        </w:tabs>
        <w:spacing w:after="0" w:line="240" w:lineRule="auto"/>
        <w:ind w:left="702"/>
        <w:jc w:val="both"/>
        <w:rPr>
          <w:rStyle w:val="Emphasis"/>
          <w:rFonts w:ascii="Times New Roman" w:hAnsi="Times New Roman" w:cs="Times New Roman"/>
          <w:bCs/>
          <w:i w:val="0"/>
          <w:sz w:val="24"/>
          <w:szCs w:val="24"/>
          <w:u w:val="double"/>
        </w:rPr>
      </w:pPr>
    </w:p>
    <w:p w14:paraId="3E8E4A1F" w14:textId="77777777" w:rsidR="00C63393" w:rsidRPr="00334330" w:rsidRDefault="00C63393" w:rsidP="00C63393">
      <w:pPr>
        <w:tabs>
          <w:tab w:val="num" w:pos="5040"/>
        </w:tabs>
        <w:spacing w:after="0" w:line="240" w:lineRule="auto"/>
        <w:ind w:left="702"/>
        <w:jc w:val="both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u w:val="double"/>
        </w:rPr>
      </w:pPr>
      <w:r w:rsidRPr="00334330"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 xml:space="preserve">E. </w:t>
      </w:r>
      <w:r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 xml:space="preserve"> </w:t>
      </w:r>
      <w:r w:rsidRPr="00334330"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>Wood Fenc</w:t>
      </w:r>
      <w:r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>ing</w:t>
      </w:r>
    </w:p>
    <w:p w14:paraId="73BE6837" w14:textId="77777777" w:rsidR="00C63393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8438A">
        <w:rPr>
          <w:rFonts w:ascii="Times New Roman" w:hAnsi="Times New Roman" w:cs="Times New Roman"/>
          <w:sz w:val="24"/>
          <w:szCs w:val="24"/>
          <w:u w:val="double"/>
        </w:rPr>
        <w:t>Permitted styles include only</w:t>
      </w:r>
      <w:r w:rsidRPr="0058438A">
        <w:rPr>
          <w:rStyle w:val="Emphasis"/>
          <w:rFonts w:ascii="Times New Roman" w:hAnsi="Times New Roman" w:cs="Times New Roman"/>
          <w:bCs/>
          <w:sz w:val="24"/>
          <w:szCs w:val="24"/>
          <w:u w:val="double"/>
        </w:rPr>
        <w:t xml:space="preserve">, semi-privacy (spaced board,) </w:t>
      </w:r>
      <w:r>
        <w:rPr>
          <w:rFonts w:ascii="Times New Roman" w:hAnsi="Times New Roman" w:cs="Times New Roman"/>
          <w:sz w:val="24"/>
          <w:szCs w:val="24"/>
          <w:u w:val="double"/>
        </w:rPr>
        <w:t>shadowbox,</w:t>
      </w:r>
      <w:r w:rsidRPr="0058438A">
        <w:rPr>
          <w:rFonts w:ascii="Times New Roman" w:hAnsi="Times New Roman" w:cs="Times New Roman"/>
          <w:sz w:val="24"/>
          <w:szCs w:val="24"/>
          <w:u w:val="double"/>
        </w:rPr>
        <w:t xml:space="preserve"> and board on board.</w:t>
      </w:r>
    </w:p>
    <w:p w14:paraId="6AB107D4" w14:textId="77777777" w:rsidR="00C63393" w:rsidRPr="0058438A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8438A">
        <w:rPr>
          <w:rFonts w:ascii="Times New Roman" w:hAnsi="Times New Roman" w:cs="Times New Roman"/>
          <w:sz w:val="24"/>
          <w:szCs w:val="24"/>
          <w:u w:val="double"/>
        </w:rPr>
        <w:t xml:space="preserve">Must be made of cypress, pressure treated #2 </w:t>
      </w:r>
      <w:proofErr w:type="gramStart"/>
      <w:r w:rsidRPr="0058438A">
        <w:rPr>
          <w:rFonts w:ascii="Times New Roman" w:hAnsi="Times New Roman" w:cs="Times New Roman"/>
          <w:sz w:val="24"/>
          <w:szCs w:val="24"/>
          <w:u w:val="double"/>
        </w:rPr>
        <w:t xml:space="preserve">spruce </w:t>
      </w:r>
      <w:r>
        <w:rPr>
          <w:rFonts w:ascii="Times New Roman" w:hAnsi="Times New Roman" w:cs="Times New Roman"/>
          <w:sz w:val="24"/>
          <w:szCs w:val="24"/>
          <w:u w:val="double"/>
        </w:rPr>
        <w:t>,</w:t>
      </w:r>
      <w:r w:rsidRPr="0058438A">
        <w:rPr>
          <w:rFonts w:ascii="Times New Roman" w:hAnsi="Times New Roman" w:cs="Times New Roman"/>
          <w:sz w:val="24"/>
          <w:szCs w:val="24"/>
          <w:u w:val="double"/>
        </w:rPr>
        <w:t>or</w:t>
      </w:r>
      <w:proofErr w:type="gramEnd"/>
      <w:r w:rsidRPr="0058438A">
        <w:rPr>
          <w:rFonts w:ascii="Times New Roman" w:hAnsi="Times New Roman" w:cs="Times New Roman"/>
          <w:sz w:val="24"/>
          <w:szCs w:val="24"/>
          <w:u w:val="double"/>
        </w:rPr>
        <w:t xml:space="preserve"> pressure treated pine only.</w:t>
      </w:r>
      <w:r w:rsidRPr="0058438A">
        <w:rPr>
          <w:rFonts w:eastAsia="Times New Roman"/>
          <w:color w:val="000000"/>
          <w:sz w:val="24"/>
          <w:szCs w:val="24"/>
          <w:u w:val="single"/>
        </w:rPr>
        <w:t xml:space="preserve"> </w:t>
      </w:r>
    </w:p>
    <w:p w14:paraId="248647FA" w14:textId="77777777" w:rsidR="00C63393" w:rsidRPr="00334330" w:rsidRDefault="00C63393" w:rsidP="00C63393">
      <w:pPr>
        <w:pStyle w:val="Heading3"/>
        <w:numPr>
          <w:ilvl w:val="0"/>
          <w:numId w:val="10"/>
        </w:numPr>
        <w:spacing w:after="0"/>
        <w:rPr>
          <w:b w:val="0"/>
          <w:szCs w:val="24"/>
          <w:u w:val="double"/>
        </w:rPr>
      </w:pPr>
      <w:r w:rsidRPr="00334330">
        <w:rPr>
          <w:b w:val="0"/>
          <w:szCs w:val="24"/>
          <w:u w:val="double"/>
        </w:rPr>
        <w:t xml:space="preserve">Clear wood stain or clear wood sealant for fencing is allowed. </w:t>
      </w:r>
    </w:p>
    <w:p w14:paraId="4E84143E" w14:textId="77777777" w:rsidR="00C63393" w:rsidRPr="00334330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Colored stain will be allowed for wood fences </w:t>
      </w:r>
      <w:proofErr w:type="gramStart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the color is comparable to Sherwin Williams semi-transparent stain colors Baja Beige (SW 3509), Banyan Brown (SW 3522), Crossroads (SW 3521) or Woodridge (SW 3504) over which a clear sealant can be applied. </w:t>
      </w:r>
    </w:p>
    <w:p w14:paraId="3C0960DF" w14:textId="77777777" w:rsidR="00C63393" w:rsidRPr="00334330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As an alternative, a stain and sealer combination will be allowed for wood fences </w:t>
      </w:r>
      <w:proofErr w:type="gramStart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the color is comparable to Thompson’s Water Seal Semi-Transparent Stain and Sealer colors Natural Cedar, Honey Gold or Timber Brown. </w:t>
      </w:r>
    </w:p>
    <w:p w14:paraId="4ED61664" w14:textId="77777777" w:rsidR="00C63393" w:rsidRPr="00334330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Any manufacturer’s product may be used </w:t>
      </w:r>
      <w:proofErr w:type="gramStart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as long as</w:t>
      </w:r>
      <w:proofErr w:type="gramEnd"/>
      <w:r w:rsidRPr="00334330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the colors are comparable.</w:t>
      </w:r>
    </w:p>
    <w:p w14:paraId="0625C9D5" w14:textId="77777777" w:rsidR="00C63393" w:rsidRDefault="00C63393" w:rsidP="00C633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C9923" w14:textId="77777777" w:rsidR="00C63393" w:rsidRPr="006A3D62" w:rsidRDefault="00C63393" w:rsidP="00C63393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D6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Proposed Amendment to Section 2.2.15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Pr="006A3D62">
        <w:rPr>
          <w:rFonts w:ascii="Times New Roman" w:hAnsi="Times New Roman" w:cs="Times New Roman"/>
          <w:b/>
          <w:sz w:val="24"/>
          <w:szCs w:val="24"/>
          <w:u w:val="single"/>
        </w:rPr>
        <w:t>of the Westchase Residential Guidelines:</w:t>
      </w:r>
    </w:p>
    <w:p w14:paraId="484BCCB9" w14:textId="77777777" w:rsidR="00C63393" w:rsidRDefault="00C63393" w:rsidP="00C63393">
      <w:pPr>
        <w:tabs>
          <w:tab w:val="num" w:pos="5040"/>
        </w:tabs>
        <w:spacing w:after="0" w:line="240" w:lineRule="auto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</w:p>
    <w:p w14:paraId="1EF9BC89" w14:textId="77777777" w:rsidR="00C63393" w:rsidRPr="00E91595" w:rsidRDefault="00C63393" w:rsidP="00C63393">
      <w:pPr>
        <w:tabs>
          <w:tab w:val="num" w:pos="5040"/>
        </w:tabs>
        <w:spacing w:after="0" w:line="240" w:lineRule="auto"/>
        <w:ind w:left="702"/>
        <w:jc w:val="both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u w:val="double"/>
        </w:rPr>
      </w:pPr>
      <w:r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>F</w:t>
      </w:r>
      <w:r w:rsidRPr="00E91595"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>. Pool Fences/</w:t>
      </w:r>
      <w:r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 xml:space="preserve">Child </w:t>
      </w:r>
      <w:r w:rsidRPr="00E91595">
        <w:rPr>
          <w:rStyle w:val="Emphasis"/>
          <w:rFonts w:ascii="Times New Roman" w:hAnsi="Times New Roman" w:cs="Times New Roman"/>
          <w:b/>
          <w:bCs/>
          <w:sz w:val="24"/>
          <w:szCs w:val="24"/>
          <w:u w:val="double"/>
        </w:rPr>
        <w:t xml:space="preserve">Barriers </w:t>
      </w:r>
    </w:p>
    <w:p w14:paraId="6DC299C0" w14:textId="77777777" w:rsidR="00C63393" w:rsidRPr="005F704A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Pool fences or child barriers shall be permitted around pools as needed to comply with local ordinance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s</w:t>
      </w: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, Florida Statutes, and the Florida Building Code. </w:t>
      </w:r>
    </w:p>
    <w:p w14:paraId="5D914D9D" w14:textId="77777777" w:rsidR="00C63393" w:rsidRPr="005F704A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Pool fences or child barriers must be constructed of black metal or mesh with vertical support posts. If constructed of mesh with vertical support posts, materials must be black, </w:t>
      </w:r>
      <w:proofErr w:type="gramStart"/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white</w:t>
      </w:r>
      <w:proofErr w:type="gramEnd"/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or gray. </w:t>
      </w:r>
    </w:p>
    <w:p w14:paraId="2A5B6B69" w14:textId="77777777" w:rsidR="00C63393" w:rsidRPr="005F704A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Pool fences or child barriers must be at least four feet (4’) in height.</w:t>
      </w:r>
    </w:p>
    <w:p w14:paraId="103459CA" w14:textId="77777777" w:rsidR="00C63393" w:rsidRPr="005F704A" w:rsidRDefault="00C63393" w:rsidP="00C633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Pool fences or child barrier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s must be placed no less than twenty</w:t>
      </w: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inches 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(20”) </w:t>
      </w: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and no more than 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thirty-six</w:t>
      </w: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inches </w:t>
      </w:r>
      <w:r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(36”) </w:t>
      </w:r>
      <w:r w:rsidRPr="005F704A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>from the water’s edge.</w:t>
      </w:r>
    </w:p>
    <w:p w14:paraId="050491B0" w14:textId="77777777" w:rsidR="003678F1" w:rsidRDefault="003678F1"/>
    <w:sectPr w:rsidR="0036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B5"/>
    <w:multiLevelType w:val="hybridMultilevel"/>
    <w:tmpl w:val="8A4021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6769E"/>
    <w:multiLevelType w:val="multilevel"/>
    <w:tmpl w:val="C660FE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60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2" w15:restartNumberingAfterBreak="0">
    <w:nsid w:val="1C5527C1"/>
    <w:multiLevelType w:val="hybridMultilevel"/>
    <w:tmpl w:val="8A4021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76952"/>
    <w:multiLevelType w:val="hybridMultilevel"/>
    <w:tmpl w:val="09EAB152"/>
    <w:lvl w:ilvl="0" w:tplc="401E2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A8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iner Hand ITC" w:hAnsi="Viner Hand ITC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07E10"/>
    <w:multiLevelType w:val="hybridMultilevel"/>
    <w:tmpl w:val="EC18D7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6CDF"/>
    <w:multiLevelType w:val="hybridMultilevel"/>
    <w:tmpl w:val="4596D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0038A"/>
    <w:multiLevelType w:val="multilevel"/>
    <w:tmpl w:val="91B2C0E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5"/>
      <w:numFmt w:val="decimal"/>
      <w:lvlText w:val="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88938EE"/>
    <w:multiLevelType w:val="hybridMultilevel"/>
    <w:tmpl w:val="6F966BF6"/>
    <w:lvl w:ilvl="0" w:tplc="F0601A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4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A595E"/>
    <w:multiLevelType w:val="hybridMultilevel"/>
    <w:tmpl w:val="6B4E19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9FA82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Viner Hand ITC" w:hAnsi="Viner Hand ITC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B5767"/>
    <w:multiLevelType w:val="multilevel"/>
    <w:tmpl w:val="E460BFC8"/>
    <w:lvl w:ilvl="0">
      <w:start w:val="1"/>
      <w:numFmt w:val="decimal"/>
      <w:pStyle w:val="Heading1"/>
      <w:lvlText w:val="%1."/>
      <w:lvlJc w:val="left"/>
      <w:pPr>
        <w:tabs>
          <w:tab w:val="num" w:pos="900"/>
        </w:tabs>
        <w:ind w:left="180" w:firstLine="0"/>
      </w:pPr>
      <w:rPr>
        <w:rFonts w:hint="default"/>
        <w:b/>
        <w:i w:val="0"/>
        <w:caps w:val="0"/>
        <w:color w:val="000000"/>
        <w:sz w:val="28"/>
        <w:szCs w:val="28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0"/>
        </w:tabs>
        <w:ind w:left="-720" w:firstLine="720"/>
      </w:pPr>
      <w:rPr>
        <w:rFonts w:ascii="Times New Roman Bold" w:hAnsi="Times New Roman Bol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ing3"/>
      <w:isLgl/>
      <w:lvlText w:val="%1.3.1"/>
      <w:lvlJc w:val="left"/>
      <w:pPr>
        <w:tabs>
          <w:tab w:val="num" w:pos="720"/>
        </w:tabs>
        <w:ind w:left="1440" w:hanging="144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decimal"/>
      <w:pStyle w:val="Heading5"/>
      <w:lvlText w:val="%5."/>
      <w:lvlJc w:val="left"/>
      <w:pPr>
        <w:tabs>
          <w:tab w:val="num" w:pos="720"/>
        </w:tabs>
        <w:ind w:left="2880" w:hanging="720"/>
      </w:pPr>
      <w:rPr>
        <w:rFonts w:hint="default"/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1130635150">
    <w:abstractNumId w:val="9"/>
  </w:num>
  <w:num w:numId="2" w16cid:durableId="823545255">
    <w:abstractNumId w:val="5"/>
  </w:num>
  <w:num w:numId="3" w16cid:durableId="974876797">
    <w:abstractNumId w:val="1"/>
  </w:num>
  <w:num w:numId="4" w16cid:durableId="1187713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430002">
    <w:abstractNumId w:val="6"/>
    <w:lvlOverride w:ilvl="0">
      <w:startOverride w:val="2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520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060277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29224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23465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47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93"/>
    <w:rsid w:val="003678F1"/>
    <w:rsid w:val="00C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9E93"/>
  <w15:chartTrackingRefBased/>
  <w15:docId w15:val="{F0737B8B-CD31-4FAD-8372-B3FBBAE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93"/>
    <w:rPr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C63393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Heading2">
    <w:name w:val="heading 2"/>
    <w:basedOn w:val="Normal"/>
    <w:link w:val="Heading2Char"/>
    <w:qFormat/>
    <w:rsid w:val="00C63393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link w:val="Heading3Char"/>
    <w:qFormat/>
    <w:rsid w:val="00C63393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link w:val="Heading4Char"/>
    <w:qFormat/>
    <w:rsid w:val="00C63393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link w:val="Heading5Char"/>
    <w:qFormat/>
    <w:rsid w:val="00C63393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link w:val="Heading6Char"/>
    <w:qFormat/>
    <w:rsid w:val="00C63393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link w:val="Heading7Char"/>
    <w:qFormat/>
    <w:rsid w:val="00C63393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C63393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C63393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393"/>
    <w:rPr>
      <w:rFonts w:ascii="Times New Roman" w:eastAsia="Times New Roman" w:hAnsi="Times New Roman" w:cs="Times New Roman"/>
      <w:bCs/>
      <w:kern w:val="32"/>
      <w:sz w:val="24"/>
      <w:szCs w:val="32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C63393"/>
    <w:rPr>
      <w:rFonts w:ascii="Times New Roman" w:eastAsia="Times New Roman" w:hAnsi="Times New Roman" w:cs="Times New Roman"/>
      <w:b/>
      <w:bCs/>
      <w:iCs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C63393"/>
    <w:rPr>
      <w:rFonts w:ascii="Times New Roman" w:eastAsia="Times New Roman" w:hAnsi="Times New Roman" w:cs="Times New Roman"/>
      <w:b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C63393"/>
    <w:rPr>
      <w:rFonts w:ascii="Times New Roman" w:eastAsia="Times New Roman" w:hAnsi="Times New Roman" w:cs="Times New Roman"/>
      <w:bCs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C63393"/>
    <w:rPr>
      <w:rFonts w:ascii="Times New Roman" w:eastAsia="Times New Roman" w:hAnsi="Times New Roman" w:cs="Times New Roman"/>
      <w:bCs/>
      <w:iCs/>
      <w:kern w:val="0"/>
      <w:sz w:val="24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C63393"/>
    <w:rPr>
      <w:rFonts w:ascii="Times New Roman" w:eastAsia="Times New Roman" w:hAnsi="Times New Roman" w:cs="Times New Roman"/>
      <w:b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C633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C63393"/>
    <w:rPr>
      <w:rFonts w:ascii="Times New Roman" w:eastAsia="Times New Roman" w:hAnsi="Times New Roman" w:cs="Times New Roman"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C63393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C63393"/>
    <w:pPr>
      <w:ind w:left="720"/>
      <w:contextualSpacing/>
    </w:pPr>
  </w:style>
  <w:style w:type="character" w:styleId="Emphasis">
    <w:name w:val="Emphasis"/>
    <w:qFormat/>
    <w:rsid w:val="00C63393"/>
    <w:rPr>
      <w:i/>
      <w:iCs/>
    </w:rPr>
  </w:style>
  <w:style w:type="character" w:styleId="Strong">
    <w:name w:val="Strong"/>
    <w:basedOn w:val="DefaultParagraphFont"/>
    <w:uiPriority w:val="22"/>
    <w:qFormat/>
    <w:rsid w:val="00C63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manager@wcamanager.com</dc:creator>
  <cp:keywords/>
  <dc:description/>
  <cp:lastModifiedBy>manager@wcamanager.com</cp:lastModifiedBy>
  <cp:revision>1</cp:revision>
  <dcterms:created xsi:type="dcterms:W3CDTF">2023-08-15T18:28:00Z</dcterms:created>
  <dcterms:modified xsi:type="dcterms:W3CDTF">2023-08-15T18:31:00Z</dcterms:modified>
</cp:coreProperties>
</file>